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8DB" w:rsidRPr="001D1B96" w:rsidRDefault="001058DB" w:rsidP="001D1B96">
      <w:pPr>
        <w:spacing w:line="500" w:lineRule="exact"/>
        <w:jc w:val="center"/>
        <w:rPr>
          <w:rFonts w:asciiTheme="minorEastAsia" w:hAnsiTheme="minorEastAsia"/>
          <w:sz w:val="24"/>
          <w:szCs w:val="24"/>
        </w:rPr>
      </w:pPr>
      <w:r w:rsidRPr="001D1B96">
        <w:rPr>
          <w:rFonts w:asciiTheme="minorEastAsia" w:hAnsiTheme="minorEastAsia" w:hint="eastAsia"/>
          <w:sz w:val="24"/>
          <w:szCs w:val="24"/>
        </w:rPr>
        <w:t>法国雷恩商学院本硕</w:t>
      </w:r>
      <w:r w:rsidR="001C3691" w:rsidRPr="001D1B96">
        <w:rPr>
          <w:rFonts w:asciiTheme="minorEastAsia" w:hAnsiTheme="minorEastAsia" w:hint="eastAsia"/>
          <w:sz w:val="24"/>
          <w:szCs w:val="24"/>
        </w:rPr>
        <w:t>连读培养项目介绍</w:t>
      </w:r>
    </w:p>
    <w:p w:rsidR="001058DB" w:rsidRPr="001D1B96" w:rsidRDefault="009E78B0" w:rsidP="001D1B96">
      <w:pPr>
        <w:spacing w:line="500" w:lineRule="exact"/>
        <w:rPr>
          <w:rFonts w:asciiTheme="minorEastAsia" w:hAnsiTheme="minorEastAsia"/>
          <w:szCs w:val="21"/>
        </w:rPr>
      </w:pPr>
      <w:r w:rsidRPr="001D1B96">
        <w:rPr>
          <w:rFonts w:asciiTheme="minorEastAsia" w:hAnsiTheme="minorEastAsia" w:hint="eastAsia"/>
          <w:szCs w:val="21"/>
        </w:rPr>
        <w:t>一、项目简介：</w:t>
      </w:r>
    </w:p>
    <w:p w:rsidR="009D5174" w:rsidRPr="001D1B96" w:rsidRDefault="00976FAD" w:rsidP="001D1B96">
      <w:pPr>
        <w:spacing w:line="500" w:lineRule="exact"/>
        <w:ind w:firstLine="420"/>
        <w:rPr>
          <w:rFonts w:asciiTheme="minorEastAsia" w:hAnsiTheme="minorEastAsia"/>
          <w:szCs w:val="21"/>
        </w:rPr>
      </w:pPr>
      <w:r w:rsidRPr="001D1B96">
        <w:rPr>
          <w:rFonts w:ascii="宋体" w:eastAsia="宋体" w:hAnsi="宋体" w:cs="Times New Roman" w:hint="eastAsia"/>
          <w:color w:val="000000"/>
          <w:kern w:val="0"/>
          <w:szCs w:val="21"/>
        </w:rPr>
        <w:t>项目采取全英文授课。</w:t>
      </w:r>
      <w:r w:rsidR="001C3691" w:rsidRPr="001D1B96">
        <w:rPr>
          <w:rFonts w:asciiTheme="minorEastAsia" w:hAnsiTheme="minorEastAsia" w:hint="eastAsia"/>
          <w:szCs w:val="21"/>
        </w:rPr>
        <w:t>南邮统招本科生不限于经管类专业学生，</w:t>
      </w:r>
      <w:r w:rsidR="001058DB" w:rsidRPr="001D1B96">
        <w:rPr>
          <w:rFonts w:asciiTheme="minorEastAsia" w:hAnsiTheme="minorEastAsia" w:hint="eastAsia"/>
          <w:szCs w:val="21"/>
        </w:rPr>
        <w:t>在南京邮电大学完成本科前三年的课程学习，成绩达标后可以进入法国雷恩商学院继续学习</w:t>
      </w:r>
      <w:r w:rsidR="009D5174" w:rsidRPr="001D1B96">
        <w:rPr>
          <w:rFonts w:asciiTheme="minorEastAsia" w:hAnsiTheme="minorEastAsia" w:hint="eastAsia"/>
          <w:szCs w:val="21"/>
        </w:rPr>
        <w:t>。</w:t>
      </w:r>
      <w:r w:rsidR="00BC1725" w:rsidRPr="001D1B96">
        <w:rPr>
          <w:rFonts w:asciiTheme="minorEastAsia" w:hAnsiTheme="minorEastAsia" w:hint="eastAsia"/>
          <w:szCs w:val="21"/>
        </w:rPr>
        <w:t>第一年学习工商管理BBA学士课程，在国内本科学士学位的基础上取得双学士学位，</w:t>
      </w:r>
      <w:r w:rsidR="001058DB" w:rsidRPr="001D1B96">
        <w:rPr>
          <w:rFonts w:asciiTheme="minorEastAsia" w:hAnsiTheme="minorEastAsia" w:hint="eastAsia"/>
          <w:szCs w:val="21"/>
        </w:rPr>
        <w:t>同时获得南京邮电大学</w:t>
      </w:r>
      <w:r w:rsidR="001C3691" w:rsidRPr="001D1B96">
        <w:rPr>
          <w:rFonts w:asciiTheme="minorEastAsia" w:hAnsiTheme="minorEastAsia" w:hint="eastAsia"/>
          <w:szCs w:val="21"/>
        </w:rPr>
        <w:t>学士学位</w:t>
      </w:r>
      <w:r w:rsidR="001058DB" w:rsidRPr="001D1B96">
        <w:rPr>
          <w:rFonts w:asciiTheme="minorEastAsia" w:hAnsiTheme="minorEastAsia" w:hint="eastAsia"/>
          <w:szCs w:val="21"/>
        </w:rPr>
        <w:t>及法国雷恩商学院</w:t>
      </w:r>
      <w:r w:rsidR="00BC1725" w:rsidRPr="001D1B96">
        <w:rPr>
          <w:rFonts w:asciiTheme="minorEastAsia" w:hAnsiTheme="minorEastAsia"/>
          <w:szCs w:val="21"/>
        </w:rPr>
        <w:t>Hons</w:t>
      </w:r>
      <w:r w:rsidR="00BC1725" w:rsidRPr="001D1B96">
        <w:rPr>
          <w:rFonts w:asciiTheme="minorEastAsia" w:hAnsiTheme="minorEastAsia" w:hint="eastAsia"/>
          <w:szCs w:val="21"/>
        </w:rPr>
        <w:t xml:space="preserve"> </w:t>
      </w:r>
      <w:r w:rsidR="00BC1725" w:rsidRPr="001D1B96">
        <w:rPr>
          <w:rFonts w:asciiTheme="minorEastAsia" w:hAnsiTheme="minorEastAsia"/>
          <w:szCs w:val="21"/>
        </w:rPr>
        <w:t>BBA</w:t>
      </w:r>
      <w:r w:rsidR="00BC1725" w:rsidRPr="001D1B96">
        <w:rPr>
          <w:rFonts w:asciiTheme="minorEastAsia" w:hAnsiTheme="minorEastAsia" w:hint="eastAsia"/>
          <w:szCs w:val="21"/>
        </w:rPr>
        <w:t>。第二年在法学习一个专业硕士课程，并完成硕士企业实习和毕业论文，可取得相应</w:t>
      </w:r>
      <w:r w:rsidR="00B265CB" w:rsidRPr="001D1B96">
        <w:rPr>
          <w:rFonts w:asciiTheme="minorEastAsia" w:hAnsiTheme="minorEastAsia" w:hint="eastAsia"/>
          <w:szCs w:val="21"/>
        </w:rPr>
        <w:t>硕士</w:t>
      </w:r>
      <w:r w:rsidR="00BC1725" w:rsidRPr="001D1B96">
        <w:rPr>
          <w:rFonts w:asciiTheme="minorEastAsia" w:hAnsiTheme="minorEastAsia" w:hint="eastAsia"/>
          <w:szCs w:val="21"/>
        </w:rPr>
        <w:t>学位。</w:t>
      </w:r>
    </w:p>
    <w:p w:rsidR="00BC1725" w:rsidRPr="001D1B96" w:rsidRDefault="00BC1725" w:rsidP="001D1B96">
      <w:pPr>
        <w:spacing w:line="500" w:lineRule="exact"/>
        <w:ind w:firstLine="420"/>
        <w:rPr>
          <w:rFonts w:asciiTheme="minorEastAsia" w:hAnsiTheme="minorEastAsia"/>
          <w:szCs w:val="21"/>
        </w:rPr>
      </w:pPr>
      <w:r w:rsidRPr="001D1B96">
        <w:rPr>
          <w:rFonts w:asciiTheme="minorEastAsia" w:hAnsiTheme="minorEastAsia" w:hint="eastAsia"/>
          <w:szCs w:val="21"/>
        </w:rPr>
        <w:t>硕士学习期间，学校免费提供不同级别的法语必修课程。</w:t>
      </w:r>
    </w:p>
    <w:p w:rsidR="001058DB" w:rsidRPr="001D1B96" w:rsidRDefault="001058DB" w:rsidP="001D1B96">
      <w:pPr>
        <w:spacing w:line="500" w:lineRule="exact"/>
        <w:ind w:firstLine="420"/>
        <w:rPr>
          <w:rFonts w:asciiTheme="minorEastAsia" w:hAnsiTheme="minorEastAsia"/>
          <w:szCs w:val="21"/>
          <w:lang w:val="fr-FR"/>
        </w:rPr>
      </w:pPr>
      <w:r w:rsidRPr="001D1B96">
        <w:rPr>
          <w:rFonts w:asciiTheme="minorEastAsia" w:hAnsiTheme="minorEastAsia" w:hint="eastAsia"/>
          <w:szCs w:val="21"/>
        </w:rPr>
        <w:t>参与该项目的大三学生可远程提交本校学士毕业论文，学生可回本校答辩，也可以通过视频或电话远程答辩。在</w:t>
      </w:r>
      <w:r w:rsidR="001C3691" w:rsidRPr="001D1B96">
        <w:rPr>
          <w:rFonts w:asciiTheme="minorEastAsia" w:hAnsiTheme="minorEastAsia" w:hint="eastAsia"/>
          <w:szCs w:val="21"/>
        </w:rPr>
        <w:t>法国</w:t>
      </w:r>
      <w:r w:rsidRPr="001D1B96">
        <w:rPr>
          <w:rFonts w:asciiTheme="minorEastAsia" w:hAnsiTheme="minorEastAsia" w:hint="eastAsia"/>
          <w:szCs w:val="21"/>
        </w:rPr>
        <w:t>学习时间：2年</w:t>
      </w:r>
      <w:r w:rsidR="001C3691" w:rsidRPr="001D1B96">
        <w:rPr>
          <w:rFonts w:asciiTheme="minorEastAsia" w:hAnsiTheme="minorEastAsia" w:hint="eastAsia"/>
          <w:szCs w:val="21"/>
        </w:rPr>
        <w:t>（3+2本硕连读）</w:t>
      </w:r>
    </w:p>
    <w:p w:rsidR="005B7AC7" w:rsidRPr="001D1B96" w:rsidRDefault="005B7AC7" w:rsidP="001D1B96">
      <w:pPr>
        <w:spacing w:line="500" w:lineRule="exact"/>
        <w:ind w:firstLine="420"/>
        <w:rPr>
          <w:rFonts w:ascii="宋体" w:eastAsia="宋体" w:hAnsi="宋体" w:cs="Times New Roman"/>
          <w:color w:val="000000"/>
          <w:kern w:val="0"/>
          <w:szCs w:val="21"/>
        </w:rPr>
      </w:pPr>
      <w:r w:rsidRPr="001D1B96">
        <w:rPr>
          <w:rFonts w:ascii="宋体" w:eastAsia="宋体" w:hAnsi="宋体" w:cs="Times New Roman" w:hint="eastAsia"/>
          <w:color w:val="000000"/>
          <w:kern w:val="0"/>
          <w:szCs w:val="21"/>
        </w:rPr>
        <w:t>硕士可选专业如下：</w:t>
      </w:r>
    </w:p>
    <w:tbl>
      <w:tblPr>
        <w:tblStyle w:val="a8"/>
        <w:tblpPr w:leftFromText="180" w:rightFromText="180" w:vertAnchor="text" w:horzAnchor="page" w:tblpX="2373" w:tblpY="132"/>
        <w:tblW w:w="4503" w:type="dxa"/>
        <w:tblLayout w:type="fixed"/>
        <w:tblLook w:val="04A0"/>
      </w:tblPr>
      <w:tblGrid>
        <w:gridCol w:w="503"/>
        <w:gridCol w:w="744"/>
        <w:gridCol w:w="3256"/>
      </w:tblGrid>
      <w:tr w:rsidR="005B7AC7" w:rsidRPr="001D1B96" w:rsidTr="00A47D9E">
        <w:trPr>
          <w:trHeight w:val="274"/>
        </w:trPr>
        <w:tc>
          <w:tcPr>
            <w:tcW w:w="503"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1</w:t>
            </w:r>
          </w:p>
        </w:tc>
        <w:tc>
          <w:tcPr>
            <w:tcW w:w="744"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kern w:val="24"/>
                <w:sz w:val="21"/>
                <w:szCs w:val="21"/>
              </w:rPr>
              <w:t>MSc</w:t>
            </w:r>
          </w:p>
        </w:tc>
        <w:tc>
          <w:tcPr>
            <w:tcW w:w="3256"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国际市场营销</w:t>
            </w:r>
          </w:p>
        </w:tc>
      </w:tr>
      <w:tr w:rsidR="005B7AC7" w:rsidRPr="001D1B96" w:rsidTr="00A47D9E">
        <w:trPr>
          <w:trHeight w:val="243"/>
        </w:trPr>
        <w:tc>
          <w:tcPr>
            <w:tcW w:w="503"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2</w:t>
            </w:r>
          </w:p>
        </w:tc>
        <w:tc>
          <w:tcPr>
            <w:tcW w:w="744"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kern w:val="24"/>
                <w:sz w:val="21"/>
                <w:szCs w:val="21"/>
              </w:rPr>
              <w:t>MSc</w:t>
            </w:r>
          </w:p>
        </w:tc>
        <w:tc>
          <w:tcPr>
            <w:tcW w:w="3256"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会计、管理控制与审计</w:t>
            </w:r>
          </w:p>
        </w:tc>
      </w:tr>
      <w:tr w:rsidR="005B7AC7" w:rsidRPr="001D1B96" w:rsidTr="00A47D9E">
        <w:trPr>
          <w:trHeight w:val="190"/>
        </w:trPr>
        <w:tc>
          <w:tcPr>
            <w:tcW w:w="503"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3</w:t>
            </w:r>
          </w:p>
        </w:tc>
        <w:tc>
          <w:tcPr>
            <w:tcW w:w="744"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kern w:val="24"/>
                <w:sz w:val="21"/>
                <w:szCs w:val="21"/>
              </w:rPr>
              <w:t>MSc</w:t>
            </w:r>
          </w:p>
        </w:tc>
        <w:tc>
          <w:tcPr>
            <w:tcW w:w="3256"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国际商务谈判</w:t>
            </w:r>
          </w:p>
        </w:tc>
      </w:tr>
      <w:tr w:rsidR="005B7AC7" w:rsidRPr="001D1B96" w:rsidTr="00A47D9E">
        <w:trPr>
          <w:trHeight w:val="294"/>
        </w:trPr>
        <w:tc>
          <w:tcPr>
            <w:tcW w:w="503"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4</w:t>
            </w:r>
          </w:p>
        </w:tc>
        <w:tc>
          <w:tcPr>
            <w:tcW w:w="744"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kern w:val="24"/>
                <w:sz w:val="21"/>
                <w:szCs w:val="21"/>
              </w:rPr>
              <w:t>MSc</w:t>
            </w:r>
          </w:p>
        </w:tc>
        <w:tc>
          <w:tcPr>
            <w:tcW w:w="3256"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供应链管理</w:t>
            </w:r>
          </w:p>
        </w:tc>
      </w:tr>
      <w:tr w:rsidR="005B7AC7" w:rsidRPr="001D1B96" w:rsidTr="00A47D9E">
        <w:trPr>
          <w:trHeight w:val="257"/>
        </w:trPr>
        <w:tc>
          <w:tcPr>
            <w:tcW w:w="503"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5</w:t>
            </w:r>
          </w:p>
        </w:tc>
        <w:tc>
          <w:tcPr>
            <w:tcW w:w="744"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kern w:val="24"/>
                <w:sz w:val="21"/>
                <w:szCs w:val="21"/>
              </w:rPr>
              <w:t>MSc</w:t>
            </w:r>
          </w:p>
        </w:tc>
        <w:tc>
          <w:tcPr>
            <w:tcW w:w="3256"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国际金融</w:t>
            </w:r>
          </w:p>
        </w:tc>
      </w:tr>
      <w:tr w:rsidR="005B7AC7" w:rsidRPr="001D1B96" w:rsidTr="00A47D9E">
        <w:trPr>
          <w:trHeight w:val="218"/>
        </w:trPr>
        <w:tc>
          <w:tcPr>
            <w:tcW w:w="503"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6</w:t>
            </w:r>
          </w:p>
        </w:tc>
        <w:tc>
          <w:tcPr>
            <w:tcW w:w="744"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kern w:val="24"/>
                <w:sz w:val="21"/>
                <w:szCs w:val="21"/>
              </w:rPr>
              <w:t>MSc</w:t>
            </w:r>
          </w:p>
        </w:tc>
        <w:tc>
          <w:tcPr>
            <w:tcW w:w="3256"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运动、休闲和旅游管理</w:t>
            </w:r>
          </w:p>
        </w:tc>
      </w:tr>
      <w:tr w:rsidR="005B7AC7" w:rsidRPr="001D1B96" w:rsidTr="00A47D9E">
        <w:trPr>
          <w:trHeight w:val="181"/>
        </w:trPr>
        <w:tc>
          <w:tcPr>
            <w:tcW w:w="503"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7</w:t>
            </w:r>
          </w:p>
        </w:tc>
        <w:tc>
          <w:tcPr>
            <w:tcW w:w="744"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kern w:val="24"/>
                <w:sz w:val="21"/>
                <w:szCs w:val="21"/>
              </w:rPr>
              <w:t>MSc</w:t>
            </w:r>
          </w:p>
        </w:tc>
        <w:tc>
          <w:tcPr>
            <w:tcW w:w="3256"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传播与网络营销</w:t>
            </w:r>
          </w:p>
        </w:tc>
      </w:tr>
      <w:tr w:rsidR="005B7AC7" w:rsidRPr="001D1B96" w:rsidTr="00A47D9E">
        <w:trPr>
          <w:trHeight w:val="284"/>
        </w:trPr>
        <w:tc>
          <w:tcPr>
            <w:tcW w:w="503"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8</w:t>
            </w:r>
          </w:p>
        </w:tc>
        <w:tc>
          <w:tcPr>
            <w:tcW w:w="744"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kern w:val="24"/>
                <w:sz w:val="21"/>
                <w:szCs w:val="21"/>
              </w:rPr>
              <w:t>MSc</w:t>
            </w:r>
          </w:p>
        </w:tc>
        <w:tc>
          <w:tcPr>
            <w:tcW w:w="3256"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国际人力资源管理</w:t>
            </w:r>
          </w:p>
        </w:tc>
      </w:tr>
      <w:tr w:rsidR="005B7AC7" w:rsidRPr="001D1B96" w:rsidTr="005B7AC7">
        <w:trPr>
          <w:trHeight w:val="349"/>
        </w:trPr>
        <w:tc>
          <w:tcPr>
            <w:tcW w:w="503"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9</w:t>
            </w:r>
          </w:p>
        </w:tc>
        <w:tc>
          <w:tcPr>
            <w:tcW w:w="744"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kern w:val="24"/>
                <w:sz w:val="21"/>
                <w:szCs w:val="21"/>
              </w:rPr>
              <w:t>MSc</w:t>
            </w:r>
          </w:p>
        </w:tc>
        <w:tc>
          <w:tcPr>
            <w:tcW w:w="3256" w:type="dxa"/>
          </w:tcPr>
          <w:p w:rsidR="005B7AC7" w:rsidRPr="001D1B96" w:rsidRDefault="005B7AC7" w:rsidP="001D1B96">
            <w:pPr>
              <w:spacing w:line="500" w:lineRule="exact"/>
              <w:textAlignment w:val="bottom"/>
              <w:rPr>
                <w:rFonts w:ascii="Calibri" w:hAnsi="Calibri" w:cs="Arial"/>
                <w:kern w:val="24"/>
                <w:sz w:val="21"/>
                <w:szCs w:val="21"/>
              </w:rPr>
            </w:pPr>
            <w:r w:rsidRPr="001D1B96">
              <w:rPr>
                <w:rFonts w:ascii="Calibri" w:hAnsi="Calibri" w:cs="Arial" w:hint="eastAsia"/>
                <w:kern w:val="24"/>
                <w:sz w:val="21"/>
                <w:szCs w:val="21"/>
              </w:rPr>
              <w:t>国际奢侈品及品牌管理</w:t>
            </w:r>
          </w:p>
        </w:tc>
      </w:tr>
    </w:tbl>
    <w:p w:rsidR="005B7AC7" w:rsidRPr="001D1B96" w:rsidRDefault="005B7AC7" w:rsidP="001D1B96">
      <w:pPr>
        <w:spacing w:line="500" w:lineRule="exact"/>
        <w:ind w:firstLine="420"/>
        <w:rPr>
          <w:rFonts w:asciiTheme="minorEastAsia" w:hAnsiTheme="minorEastAsia"/>
          <w:szCs w:val="21"/>
        </w:rPr>
      </w:pPr>
    </w:p>
    <w:p w:rsidR="005B7AC7" w:rsidRPr="001D1B96" w:rsidRDefault="005B7AC7" w:rsidP="001D1B96">
      <w:pPr>
        <w:spacing w:line="500" w:lineRule="exact"/>
        <w:ind w:firstLine="420"/>
        <w:rPr>
          <w:rFonts w:asciiTheme="minorEastAsia" w:hAnsiTheme="minorEastAsia"/>
          <w:szCs w:val="21"/>
        </w:rPr>
      </w:pPr>
    </w:p>
    <w:p w:rsidR="005B7AC7" w:rsidRPr="001D1B96" w:rsidRDefault="005B7AC7" w:rsidP="001D1B96">
      <w:pPr>
        <w:spacing w:line="500" w:lineRule="exact"/>
        <w:ind w:firstLine="420"/>
        <w:rPr>
          <w:rFonts w:asciiTheme="minorEastAsia" w:hAnsiTheme="minorEastAsia"/>
          <w:szCs w:val="21"/>
        </w:rPr>
      </w:pPr>
    </w:p>
    <w:p w:rsidR="005B7AC7" w:rsidRPr="001D1B96" w:rsidRDefault="005B7AC7" w:rsidP="001D1B96">
      <w:pPr>
        <w:spacing w:line="500" w:lineRule="exact"/>
        <w:ind w:firstLine="420"/>
        <w:rPr>
          <w:rFonts w:asciiTheme="minorEastAsia" w:hAnsiTheme="minorEastAsia"/>
          <w:szCs w:val="21"/>
        </w:rPr>
      </w:pPr>
    </w:p>
    <w:p w:rsidR="005B7AC7" w:rsidRPr="001D1B96" w:rsidRDefault="005B7AC7" w:rsidP="001D1B96">
      <w:pPr>
        <w:spacing w:line="500" w:lineRule="exact"/>
        <w:ind w:firstLine="420"/>
        <w:rPr>
          <w:rFonts w:asciiTheme="minorEastAsia" w:hAnsiTheme="minorEastAsia"/>
          <w:szCs w:val="21"/>
        </w:rPr>
      </w:pPr>
    </w:p>
    <w:p w:rsidR="005B7AC7" w:rsidRPr="001D1B96" w:rsidRDefault="005B7AC7" w:rsidP="001D1B96">
      <w:pPr>
        <w:spacing w:line="500" w:lineRule="exact"/>
        <w:ind w:firstLine="420"/>
        <w:rPr>
          <w:rFonts w:asciiTheme="minorEastAsia" w:hAnsiTheme="minorEastAsia"/>
          <w:szCs w:val="21"/>
        </w:rPr>
      </w:pPr>
    </w:p>
    <w:p w:rsidR="005B7AC7" w:rsidRPr="001D1B96" w:rsidRDefault="005B7AC7" w:rsidP="001D1B96">
      <w:pPr>
        <w:spacing w:line="500" w:lineRule="exact"/>
        <w:ind w:firstLine="420"/>
        <w:rPr>
          <w:rFonts w:asciiTheme="minorEastAsia" w:hAnsiTheme="minorEastAsia"/>
          <w:szCs w:val="21"/>
        </w:rPr>
      </w:pPr>
    </w:p>
    <w:p w:rsidR="005B7AC7" w:rsidRPr="001D1B96" w:rsidRDefault="005B7AC7" w:rsidP="001D1B96">
      <w:pPr>
        <w:spacing w:line="500" w:lineRule="exact"/>
        <w:ind w:firstLine="420"/>
        <w:rPr>
          <w:rFonts w:asciiTheme="minorEastAsia" w:hAnsiTheme="minorEastAsia"/>
          <w:szCs w:val="21"/>
        </w:rPr>
      </w:pPr>
    </w:p>
    <w:p w:rsidR="005B7AC7" w:rsidRPr="001D1B96" w:rsidRDefault="005B7AC7" w:rsidP="001D1B96">
      <w:pPr>
        <w:spacing w:line="500" w:lineRule="exact"/>
        <w:ind w:firstLine="420"/>
        <w:rPr>
          <w:rFonts w:asciiTheme="minorEastAsia" w:hAnsiTheme="minorEastAsia"/>
          <w:szCs w:val="21"/>
        </w:rPr>
      </w:pPr>
    </w:p>
    <w:p w:rsidR="005B7AC7" w:rsidRPr="001D1B96" w:rsidRDefault="005B7AC7" w:rsidP="001D1B96">
      <w:pPr>
        <w:spacing w:line="500" w:lineRule="exact"/>
        <w:ind w:firstLine="420"/>
        <w:rPr>
          <w:rFonts w:asciiTheme="minorEastAsia" w:hAnsiTheme="minorEastAsia"/>
          <w:szCs w:val="21"/>
        </w:rPr>
      </w:pPr>
    </w:p>
    <w:p w:rsidR="001058DB" w:rsidRPr="001D1B96" w:rsidRDefault="001058DB" w:rsidP="001D1B96">
      <w:pPr>
        <w:spacing w:line="500" w:lineRule="exact"/>
        <w:rPr>
          <w:rFonts w:asciiTheme="minorEastAsia" w:hAnsiTheme="minorEastAsia"/>
          <w:szCs w:val="21"/>
        </w:rPr>
      </w:pPr>
      <w:r w:rsidRPr="001D1B96">
        <w:rPr>
          <w:rFonts w:asciiTheme="minorEastAsia" w:hAnsiTheme="minorEastAsia" w:hint="eastAsia"/>
          <w:szCs w:val="21"/>
        </w:rPr>
        <w:t>二、申请流程：</w:t>
      </w:r>
    </w:p>
    <w:p w:rsidR="00B265CB" w:rsidRPr="001D1B96" w:rsidRDefault="001D1B96" w:rsidP="001D1B96">
      <w:pPr>
        <w:spacing w:line="500" w:lineRule="exact"/>
        <w:rPr>
          <w:rFonts w:asciiTheme="minorEastAsia" w:hAnsiTheme="minorEastAsia"/>
          <w:szCs w:val="21"/>
        </w:rPr>
      </w:pPr>
      <w:r w:rsidRPr="001D1B96">
        <w:rPr>
          <w:rFonts w:asciiTheme="minorEastAsia" w:hAnsiTheme="minorEastAsia" w:hint="eastAsia"/>
          <w:szCs w:val="21"/>
        </w:rPr>
        <w:t xml:space="preserve">    </w:t>
      </w:r>
      <w:r w:rsidR="00511D57" w:rsidRPr="001D1B96">
        <w:rPr>
          <w:rFonts w:asciiTheme="minorEastAsia" w:hAnsiTheme="minorEastAsia" w:hint="eastAsia"/>
          <w:szCs w:val="21"/>
        </w:rPr>
        <w:t>1、</w:t>
      </w:r>
      <w:r w:rsidR="00B265CB" w:rsidRPr="001D1B96">
        <w:rPr>
          <w:rFonts w:asciiTheme="minorEastAsia" w:hAnsiTheme="minorEastAsia" w:hint="eastAsia"/>
          <w:szCs w:val="21"/>
        </w:rPr>
        <w:t>拟参加该项目学生将个人简历及能证明个人学术水平的证明材料一并递交至学院进行审核（2017年3月15日前）——学院审核通过后报送教务处（2017年3月底）——教务处进行学生选拔（2017年4月底）——学生将英文版</w:t>
      </w:r>
      <w:r w:rsidR="00B265CB" w:rsidRPr="001D1B96">
        <w:rPr>
          <w:rFonts w:asciiTheme="minorEastAsia" w:hAnsiTheme="minorEastAsia"/>
          <w:szCs w:val="21"/>
        </w:rPr>
        <w:t>申请资料</w:t>
      </w:r>
      <w:r w:rsidR="00B265CB" w:rsidRPr="001D1B96">
        <w:rPr>
          <w:rFonts w:asciiTheme="minorEastAsia" w:hAnsiTheme="minorEastAsia" w:hint="eastAsia"/>
          <w:szCs w:val="21"/>
        </w:rPr>
        <w:t>（</w:t>
      </w:r>
      <w:r w:rsidR="00B265CB" w:rsidRPr="001D1B96">
        <w:rPr>
          <w:rFonts w:asciiTheme="minorEastAsia" w:hAnsiTheme="minorEastAsia"/>
          <w:szCs w:val="21"/>
        </w:rPr>
        <w:t>个人简历</w:t>
      </w:r>
      <w:r w:rsidR="00B265CB" w:rsidRPr="001D1B96">
        <w:rPr>
          <w:rFonts w:asciiTheme="minorEastAsia" w:hAnsiTheme="minorEastAsia" w:hint="eastAsia"/>
          <w:szCs w:val="21"/>
        </w:rPr>
        <w:t>、</w:t>
      </w:r>
      <w:r w:rsidR="00B265CB" w:rsidRPr="001D1B96">
        <w:rPr>
          <w:rFonts w:asciiTheme="minorEastAsia" w:hAnsiTheme="minorEastAsia"/>
          <w:szCs w:val="21"/>
        </w:rPr>
        <w:t>大学成绩单</w:t>
      </w:r>
      <w:r w:rsidR="00B265CB" w:rsidRPr="001D1B96">
        <w:rPr>
          <w:rFonts w:asciiTheme="minorEastAsia" w:hAnsiTheme="minorEastAsia" w:hint="eastAsia"/>
          <w:szCs w:val="21"/>
        </w:rPr>
        <w:t>、</w:t>
      </w:r>
      <w:r w:rsidR="00B265CB" w:rsidRPr="001D1B96">
        <w:rPr>
          <w:rFonts w:asciiTheme="minorEastAsia" w:hAnsiTheme="minorEastAsia"/>
          <w:szCs w:val="21"/>
        </w:rPr>
        <w:t>1封推荐信</w:t>
      </w:r>
      <w:r w:rsidR="00B265CB" w:rsidRPr="001D1B96">
        <w:rPr>
          <w:rFonts w:asciiTheme="minorEastAsia" w:hAnsiTheme="minorEastAsia" w:hint="eastAsia"/>
          <w:szCs w:val="21"/>
        </w:rPr>
        <w:t>、</w:t>
      </w:r>
      <w:r w:rsidR="00B265CB" w:rsidRPr="001D1B96">
        <w:rPr>
          <w:rFonts w:ascii="宋体" w:eastAsia="宋体" w:hAnsi="宋体" w:cs="Times New Roman" w:hint="eastAsia"/>
          <w:color w:val="000000"/>
          <w:kern w:val="0"/>
          <w:szCs w:val="21"/>
        </w:rPr>
        <w:t>雷恩高商申请表）</w:t>
      </w:r>
      <w:r w:rsidR="00B265CB" w:rsidRPr="001D1B96">
        <w:rPr>
          <w:rFonts w:asciiTheme="minorEastAsia" w:hAnsiTheme="minorEastAsia"/>
          <w:szCs w:val="21"/>
        </w:rPr>
        <w:t>及申请费</w:t>
      </w:r>
      <w:r w:rsidR="00B265CB" w:rsidRPr="001D1B96">
        <w:rPr>
          <w:rFonts w:asciiTheme="minorEastAsia" w:hAnsiTheme="minorEastAsia" w:hint="eastAsia"/>
          <w:szCs w:val="21"/>
        </w:rPr>
        <w:t>提交至法国雷恩高商中国办公室审核处理——法国雷恩商学院确定录取名单（2017年5月底）——</w:t>
      </w:r>
      <w:r w:rsidR="00B265CB" w:rsidRPr="001D1B96">
        <w:rPr>
          <w:rFonts w:ascii="宋体" w:eastAsia="宋体" w:hAnsi="宋体" w:cs="Times New Roman" w:hint="eastAsia"/>
          <w:color w:val="000000"/>
          <w:kern w:val="0"/>
          <w:szCs w:val="21"/>
        </w:rPr>
        <w:t>参加雷恩高商的网上平台面试或入学评估（一</w:t>
      </w:r>
      <w:r w:rsidR="00B265CB" w:rsidRPr="001D1B96">
        <w:rPr>
          <w:rFonts w:ascii="宋体" w:eastAsia="宋体" w:hAnsi="宋体" w:cs="Times New Roman" w:hint="eastAsia"/>
          <w:color w:val="000000"/>
          <w:kern w:val="0"/>
          <w:szCs w:val="21"/>
        </w:rPr>
        <w:lastRenderedPageBreak/>
        <w:t>般在提交材料后2周左右），被有条件录取后，需确认预注册，并准备英语考试——</w:t>
      </w:r>
      <w:r w:rsidR="00B265CB" w:rsidRPr="001D1B96">
        <w:rPr>
          <w:rFonts w:asciiTheme="minorEastAsia" w:hAnsiTheme="minorEastAsia" w:hint="eastAsia"/>
          <w:szCs w:val="21"/>
        </w:rPr>
        <w:t>学生赴法国雷恩商学院学习——学生回国后至教务处做学分转换。</w:t>
      </w:r>
    </w:p>
    <w:p w:rsidR="00CC4B45" w:rsidRPr="001D1B96" w:rsidRDefault="001D1B96" w:rsidP="001D1B96">
      <w:pPr>
        <w:spacing w:line="500" w:lineRule="exact"/>
        <w:ind w:firstLineChars="200" w:firstLine="420"/>
        <w:rPr>
          <w:rFonts w:asciiTheme="minorEastAsia" w:hAnsiTheme="minorEastAsia"/>
          <w:szCs w:val="21"/>
        </w:rPr>
      </w:pPr>
      <w:r w:rsidRPr="001D1B96">
        <w:rPr>
          <w:rFonts w:ascii="宋体" w:eastAsia="宋体" w:hAnsi="宋体" w:cs="Times New Roman" w:hint="eastAsia"/>
          <w:color w:val="000000"/>
          <w:kern w:val="0"/>
          <w:szCs w:val="21"/>
        </w:rPr>
        <w:t>2、</w:t>
      </w:r>
      <w:r w:rsidR="00CC4B45" w:rsidRPr="001D1B96">
        <w:rPr>
          <w:rFonts w:ascii="宋体" w:eastAsia="宋体" w:hAnsi="宋体" w:cs="Times New Roman" w:hint="eastAsia"/>
          <w:color w:val="000000"/>
          <w:kern w:val="0"/>
          <w:szCs w:val="21"/>
        </w:rPr>
        <w:t>英语考试成绩</w:t>
      </w:r>
      <w:r w:rsidR="00F060AE" w:rsidRPr="001D1B96">
        <w:rPr>
          <w:rFonts w:ascii="宋体" w:eastAsia="宋体" w:hAnsi="宋体" w:cs="Times New Roman" w:hint="eastAsia"/>
          <w:color w:val="000000"/>
          <w:kern w:val="0"/>
          <w:szCs w:val="21"/>
        </w:rPr>
        <w:t>是签证的必需材料，一般最晚要在7月达标。</w:t>
      </w:r>
    </w:p>
    <w:p w:rsidR="001D1B96" w:rsidRPr="001D1B96" w:rsidRDefault="001D1B96" w:rsidP="001D1B96">
      <w:pPr>
        <w:spacing w:line="500" w:lineRule="exact"/>
        <w:ind w:firstLine="405"/>
        <w:rPr>
          <w:rFonts w:asciiTheme="minorEastAsia" w:hAnsiTheme="minorEastAsia"/>
          <w:szCs w:val="21"/>
        </w:rPr>
      </w:pPr>
      <w:r w:rsidRPr="001D1B96">
        <w:rPr>
          <w:rFonts w:asciiTheme="minorEastAsia" w:hAnsiTheme="minorEastAsia" w:hint="eastAsia"/>
          <w:szCs w:val="21"/>
        </w:rPr>
        <w:t>3</w:t>
      </w:r>
      <w:r w:rsidR="006D4276" w:rsidRPr="001D1B96">
        <w:rPr>
          <w:rFonts w:asciiTheme="minorEastAsia" w:hAnsiTheme="minorEastAsia" w:hint="eastAsia"/>
          <w:szCs w:val="21"/>
        </w:rPr>
        <w:t>、签证一般在</w:t>
      </w:r>
      <w:r w:rsidR="00A47D9E" w:rsidRPr="001D1B96">
        <w:rPr>
          <w:rFonts w:asciiTheme="minorEastAsia" w:hAnsiTheme="minorEastAsia" w:hint="eastAsia"/>
          <w:szCs w:val="21"/>
        </w:rPr>
        <w:t>每年</w:t>
      </w:r>
      <w:r w:rsidR="006D4276" w:rsidRPr="001D1B96">
        <w:rPr>
          <w:rFonts w:asciiTheme="minorEastAsia" w:hAnsiTheme="minorEastAsia" w:hint="eastAsia"/>
          <w:szCs w:val="21"/>
        </w:rPr>
        <w:t>6月左右开始准备</w:t>
      </w:r>
      <w:r w:rsidR="00E45952" w:rsidRPr="001D1B96">
        <w:rPr>
          <w:rFonts w:asciiTheme="minorEastAsia" w:hAnsiTheme="minorEastAsia" w:hint="eastAsia"/>
          <w:szCs w:val="21"/>
        </w:rPr>
        <w:t>。</w:t>
      </w:r>
    </w:p>
    <w:p w:rsidR="001C3691" w:rsidRPr="001D1B96" w:rsidRDefault="001058DB" w:rsidP="001D1B96">
      <w:pPr>
        <w:spacing w:line="500" w:lineRule="exact"/>
        <w:rPr>
          <w:rFonts w:asciiTheme="minorEastAsia" w:hAnsiTheme="minorEastAsia"/>
          <w:szCs w:val="21"/>
        </w:rPr>
      </w:pPr>
      <w:r w:rsidRPr="001D1B96">
        <w:rPr>
          <w:rFonts w:asciiTheme="minorEastAsia" w:hAnsiTheme="minorEastAsia" w:hint="eastAsia"/>
          <w:szCs w:val="21"/>
        </w:rPr>
        <w:t>三、申请条件：</w:t>
      </w:r>
    </w:p>
    <w:p w:rsidR="001D1B96" w:rsidRPr="001D1B96" w:rsidRDefault="00CC4B45" w:rsidP="001D1B96">
      <w:pPr>
        <w:spacing w:line="500" w:lineRule="exact"/>
        <w:ind w:firstLineChars="150" w:firstLine="315"/>
        <w:rPr>
          <w:rFonts w:asciiTheme="minorEastAsia" w:hAnsiTheme="minorEastAsia"/>
          <w:szCs w:val="21"/>
        </w:rPr>
      </w:pPr>
      <w:r w:rsidRPr="001D1B96">
        <w:rPr>
          <w:rFonts w:asciiTheme="minorEastAsia" w:hAnsiTheme="minorEastAsia" w:hint="eastAsia"/>
          <w:szCs w:val="21"/>
        </w:rPr>
        <w:t>全日制大三在读本科生，专业不限，成绩合格。</w:t>
      </w:r>
    </w:p>
    <w:p w:rsidR="006D4276" w:rsidRPr="001D1B96" w:rsidRDefault="006D4276" w:rsidP="001D1B96">
      <w:pPr>
        <w:spacing w:line="500" w:lineRule="exact"/>
        <w:rPr>
          <w:rFonts w:ascii="Times New Roman" w:eastAsia="宋体" w:hAnsi="Times New Roman" w:cs="Times New Roman"/>
          <w:color w:val="000000"/>
          <w:kern w:val="0"/>
          <w:szCs w:val="21"/>
        </w:rPr>
      </w:pPr>
      <w:r w:rsidRPr="001D1B96">
        <w:rPr>
          <w:rFonts w:ascii="Times New Roman" w:eastAsia="宋体" w:hAnsi="Times New Roman" w:cs="Times New Roman" w:hint="eastAsia"/>
          <w:color w:val="000000"/>
          <w:kern w:val="0"/>
          <w:szCs w:val="21"/>
        </w:rPr>
        <w:t>四、</w:t>
      </w:r>
      <w:r w:rsidR="00CC4B45" w:rsidRPr="001D1B96">
        <w:rPr>
          <w:rFonts w:ascii="Times New Roman" w:eastAsia="宋体" w:hAnsi="Times New Roman" w:cs="Times New Roman" w:hint="eastAsia"/>
          <w:color w:val="000000"/>
          <w:kern w:val="0"/>
          <w:szCs w:val="21"/>
        </w:rPr>
        <w:t>英语要求：</w:t>
      </w:r>
    </w:p>
    <w:p w:rsidR="00E45952" w:rsidRPr="001D1B96" w:rsidRDefault="00CC4B45" w:rsidP="001D1B96">
      <w:pPr>
        <w:spacing w:line="500" w:lineRule="exact"/>
        <w:ind w:firstLineChars="150" w:firstLine="315"/>
        <w:rPr>
          <w:rFonts w:asciiTheme="minorEastAsia" w:hAnsiTheme="minorEastAsia"/>
          <w:szCs w:val="21"/>
        </w:rPr>
      </w:pPr>
      <w:r w:rsidRPr="001D1B96">
        <w:rPr>
          <w:rFonts w:ascii="宋体" w:eastAsia="宋体" w:hAnsi="宋体" w:cs="Times New Roman"/>
          <w:color w:val="000000"/>
          <w:kern w:val="0"/>
          <w:szCs w:val="21"/>
        </w:rPr>
        <w:t xml:space="preserve">TOEFL ibt </w:t>
      </w:r>
      <w:r w:rsidRPr="001D1B96">
        <w:rPr>
          <w:rFonts w:ascii="Arial" w:hAnsi="Arial" w:cs="Arial"/>
          <w:color w:val="333333"/>
          <w:szCs w:val="21"/>
          <w:shd w:val="clear" w:color="auto" w:fill="FFFFFF"/>
        </w:rPr>
        <w:t>≥</w:t>
      </w:r>
      <w:r w:rsidRPr="001D1B96">
        <w:rPr>
          <w:rFonts w:ascii="Arial" w:hAnsi="Arial" w:cs="Arial" w:hint="eastAsia"/>
          <w:color w:val="333333"/>
          <w:szCs w:val="21"/>
          <w:shd w:val="clear" w:color="auto" w:fill="FFFFFF"/>
        </w:rPr>
        <w:t xml:space="preserve"> </w:t>
      </w:r>
      <w:r w:rsidRPr="001D1B96">
        <w:rPr>
          <w:rFonts w:ascii="宋体" w:eastAsia="宋体" w:hAnsi="宋体" w:cs="Times New Roman" w:hint="eastAsia"/>
          <w:color w:val="000000"/>
          <w:kern w:val="0"/>
          <w:szCs w:val="21"/>
        </w:rPr>
        <w:t>7</w:t>
      </w:r>
      <w:r w:rsidRPr="001D1B96">
        <w:rPr>
          <w:rFonts w:ascii="宋体" w:eastAsia="宋体" w:hAnsi="宋体" w:cs="Times New Roman"/>
          <w:color w:val="000000"/>
          <w:kern w:val="0"/>
          <w:szCs w:val="21"/>
        </w:rPr>
        <w:t xml:space="preserve">0 or IETLTS </w:t>
      </w:r>
      <w:r w:rsidRPr="001D1B96">
        <w:rPr>
          <w:rStyle w:val="apple-converted-space"/>
          <w:rFonts w:ascii="Arial" w:hAnsi="Arial" w:cs="Arial"/>
          <w:color w:val="333333"/>
          <w:szCs w:val="21"/>
          <w:shd w:val="clear" w:color="auto" w:fill="FFFFFF"/>
        </w:rPr>
        <w:t> </w:t>
      </w:r>
      <w:r w:rsidRPr="001D1B96">
        <w:rPr>
          <w:rFonts w:ascii="Arial" w:hAnsi="Arial" w:cs="Arial"/>
          <w:color w:val="333333"/>
          <w:szCs w:val="21"/>
          <w:shd w:val="clear" w:color="auto" w:fill="FFFFFF"/>
        </w:rPr>
        <w:t>≥</w:t>
      </w:r>
      <w:r w:rsidRPr="001D1B96">
        <w:rPr>
          <w:rFonts w:ascii="宋体" w:eastAsia="宋体" w:hAnsi="宋体" w:cs="Times New Roman"/>
          <w:color w:val="000000"/>
          <w:kern w:val="0"/>
          <w:szCs w:val="21"/>
        </w:rPr>
        <w:t xml:space="preserve"> 6.</w:t>
      </w:r>
      <w:r w:rsidRPr="001D1B96">
        <w:rPr>
          <w:rFonts w:ascii="宋体" w:eastAsia="宋体" w:hAnsi="宋体" w:cs="Times New Roman" w:hint="eastAsia"/>
          <w:color w:val="000000"/>
          <w:kern w:val="0"/>
          <w:szCs w:val="21"/>
        </w:rPr>
        <w:t>0</w:t>
      </w:r>
      <w:r w:rsidRPr="001D1B96">
        <w:rPr>
          <w:rFonts w:ascii="宋体" w:eastAsia="宋体" w:hAnsi="宋体" w:cs="Times New Roman"/>
          <w:color w:val="000000"/>
          <w:kern w:val="0"/>
          <w:szCs w:val="21"/>
        </w:rPr>
        <w:t xml:space="preserve"> or TOEIC </w:t>
      </w:r>
      <w:r w:rsidRPr="001D1B96">
        <w:rPr>
          <w:rStyle w:val="apple-converted-space"/>
          <w:rFonts w:ascii="Arial" w:hAnsi="Arial" w:cs="Arial"/>
          <w:color w:val="333333"/>
          <w:szCs w:val="21"/>
          <w:shd w:val="clear" w:color="auto" w:fill="FFFFFF"/>
        </w:rPr>
        <w:t> </w:t>
      </w:r>
      <w:r w:rsidRPr="001D1B96">
        <w:rPr>
          <w:rFonts w:ascii="Arial" w:hAnsi="Arial" w:cs="Arial"/>
          <w:color w:val="333333"/>
          <w:szCs w:val="21"/>
          <w:shd w:val="clear" w:color="auto" w:fill="FFFFFF"/>
        </w:rPr>
        <w:t>≥</w:t>
      </w:r>
      <w:r w:rsidRPr="001D1B96">
        <w:rPr>
          <w:rFonts w:ascii="宋体" w:eastAsia="宋体" w:hAnsi="宋体" w:cs="Times New Roman"/>
          <w:color w:val="000000"/>
          <w:kern w:val="0"/>
          <w:szCs w:val="21"/>
        </w:rPr>
        <w:t xml:space="preserve"> 7</w:t>
      </w:r>
      <w:r w:rsidRPr="001D1B96">
        <w:rPr>
          <w:rFonts w:ascii="宋体" w:eastAsia="宋体" w:hAnsi="宋体" w:cs="Times New Roman" w:hint="eastAsia"/>
          <w:color w:val="000000"/>
          <w:kern w:val="0"/>
          <w:szCs w:val="21"/>
        </w:rPr>
        <w:t>00</w:t>
      </w:r>
    </w:p>
    <w:p w:rsidR="0039514A" w:rsidRPr="001D1B96" w:rsidRDefault="006D4276" w:rsidP="001D1B96">
      <w:pPr>
        <w:spacing w:line="500" w:lineRule="exact"/>
        <w:rPr>
          <w:rFonts w:asciiTheme="minorEastAsia" w:hAnsiTheme="minorEastAsia"/>
          <w:strike/>
          <w:color w:val="FF0000"/>
          <w:szCs w:val="21"/>
        </w:rPr>
      </w:pPr>
      <w:r w:rsidRPr="001D1B96">
        <w:rPr>
          <w:rFonts w:asciiTheme="minorEastAsia" w:hAnsiTheme="minorEastAsia" w:hint="eastAsia"/>
          <w:szCs w:val="21"/>
        </w:rPr>
        <w:t>五</w:t>
      </w:r>
      <w:r w:rsidR="001058DB" w:rsidRPr="001D1B96">
        <w:rPr>
          <w:rFonts w:asciiTheme="minorEastAsia" w:hAnsiTheme="minorEastAsia" w:hint="eastAsia"/>
          <w:szCs w:val="21"/>
        </w:rPr>
        <w:t>、项目费用：</w:t>
      </w:r>
    </w:p>
    <w:p w:rsidR="0039514A" w:rsidRPr="001D1B96" w:rsidRDefault="0039514A" w:rsidP="001D1B96">
      <w:pPr>
        <w:spacing w:line="500" w:lineRule="exact"/>
        <w:ind w:firstLineChars="150" w:firstLine="315"/>
        <w:rPr>
          <w:rFonts w:asciiTheme="minorEastAsia" w:hAnsiTheme="minorEastAsia"/>
          <w:szCs w:val="21"/>
          <w:lang w:val="fr-FR"/>
        </w:rPr>
      </w:pPr>
      <w:r w:rsidRPr="001D1B96">
        <w:rPr>
          <w:rFonts w:asciiTheme="minorEastAsia" w:hAnsiTheme="minorEastAsia" w:hint="eastAsia"/>
          <w:szCs w:val="21"/>
        </w:rPr>
        <w:t>两年学费总计</w:t>
      </w:r>
      <w:r w:rsidRPr="001D1B96">
        <w:rPr>
          <w:rFonts w:asciiTheme="minorEastAsia" w:hAnsiTheme="minorEastAsia"/>
          <w:szCs w:val="21"/>
        </w:rPr>
        <w:t>: 26600</w:t>
      </w:r>
      <w:r w:rsidRPr="001D1B96">
        <w:rPr>
          <w:rFonts w:asciiTheme="minorEastAsia" w:hAnsiTheme="minorEastAsia" w:hint="eastAsia"/>
          <w:szCs w:val="21"/>
        </w:rPr>
        <w:t>欧元。</w:t>
      </w:r>
    </w:p>
    <w:p w:rsidR="007F6BED" w:rsidRPr="001D1B96" w:rsidRDefault="00CC4B45" w:rsidP="001D1B96">
      <w:pPr>
        <w:widowControl/>
        <w:spacing w:line="500" w:lineRule="exact"/>
        <w:ind w:leftChars="150" w:left="315"/>
        <w:jc w:val="left"/>
        <w:rPr>
          <w:rFonts w:asciiTheme="minorEastAsia" w:hAnsiTheme="minorEastAsia"/>
          <w:szCs w:val="21"/>
        </w:rPr>
      </w:pPr>
      <w:r w:rsidRPr="001D1B96">
        <w:rPr>
          <w:rFonts w:asciiTheme="minorEastAsia" w:hAnsiTheme="minorEastAsia" w:hint="eastAsia"/>
          <w:szCs w:val="21"/>
        </w:rPr>
        <w:t>申请费90欧元以及材料送至法国的快递费200人民币，统一收取950元。此费用作为应试审核之用，不予退款。材料寄走前法国雷恩高商会邮件发送申请费的付款方式。</w:t>
      </w:r>
    </w:p>
    <w:p w:rsidR="00CC4B45" w:rsidRPr="001D1B96" w:rsidRDefault="0039514A" w:rsidP="001D1B96">
      <w:pPr>
        <w:spacing w:line="500" w:lineRule="exact"/>
        <w:ind w:firstLineChars="150" w:firstLine="315"/>
        <w:rPr>
          <w:rFonts w:asciiTheme="minorEastAsia" w:hAnsiTheme="minorEastAsia"/>
          <w:szCs w:val="21"/>
        </w:rPr>
      </w:pPr>
      <w:r w:rsidRPr="001D1B96">
        <w:rPr>
          <w:rFonts w:asciiTheme="minorEastAsia" w:hAnsiTheme="minorEastAsia" w:hint="eastAsia"/>
          <w:szCs w:val="21"/>
        </w:rPr>
        <w:t>补充说明：</w:t>
      </w:r>
    </w:p>
    <w:p w:rsidR="001058DB" w:rsidRPr="001D1B96" w:rsidRDefault="001058DB" w:rsidP="001D1B96">
      <w:pPr>
        <w:spacing w:line="500" w:lineRule="exact"/>
        <w:rPr>
          <w:rFonts w:asciiTheme="minorEastAsia" w:hAnsiTheme="minorEastAsia"/>
          <w:szCs w:val="21"/>
        </w:rPr>
      </w:pPr>
      <w:r w:rsidRPr="001D1B96">
        <w:rPr>
          <w:rFonts w:asciiTheme="minorEastAsia" w:hAnsiTheme="minorEastAsia" w:hint="eastAsia"/>
          <w:szCs w:val="21"/>
        </w:rPr>
        <w:t>1、学生在南京邮电大学学习期间支付学费给南京邮电大学；</w:t>
      </w:r>
    </w:p>
    <w:p w:rsidR="00511D57" w:rsidRPr="001D1B96" w:rsidRDefault="001058DB" w:rsidP="001D1B96">
      <w:pPr>
        <w:spacing w:line="500" w:lineRule="exact"/>
        <w:rPr>
          <w:rFonts w:asciiTheme="minorEastAsia" w:hAnsiTheme="minorEastAsia"/>
          <w:szCs w:val="21"/>
        </w:rPr>
      </w:pPr>
      <w:r w:rsidRPr="001D1B96">
        <w:rPr>
          <w:rFonts w:asciiTheme="minorEastAsia" w:hAnsiTheme="minorEastAsia" w:hint="eastAsia"/>
          <w:szCs w:val="21"/>
        </w:rPr>
        <w:t>2、赴</w:t>
      </w:r>
      <w:r w:rsidR="001C3691" w:rsidRPr="001D1B96">
        <w:rPr>
          <w:rFonts w:asciiTheme="minorEastAsia" w:hAnsiTheme="minorEastAsia" w:hint="eastAsia"/>
          <w:szCs w:val="21"/>
        </w:rPr>
        <w:t>雷恩商学院</w:t>
      </w:r>
      <w:r w:rsidRPr="001D1B96">
        <w:rPr>
          <w:rFonts w:asciiTheme="minorEastAsia" w:hAnsiTheme="minorEastAsia" w:hint="eastAsia"/>
          <w:szCs w:val="21"/>
        </w:rPr>
        <w:t>学习的学生直接向</w:t>
      </w:r>
      <w:r w:rsidR="001C3691" w:rsidRPr="001D1B96">
        <w:rPr>
          <w:rFonts w:asciiTheme="minorEastAsia" w:hAnsiTheme="minorEastAsia" w:hint="eastAsia"/>
          <w:szCs w:val="21"/>
        </w:rPr>
        <w:t>法国雷恩商学院支付学费</w:t>
      </w:r>
      <w:r w:rsidRPr="001D1B96">
        <w:rPr>
          <w:rFonts w:asciiTheme="minorEastAsia" w:hAnsiTheme="minorEastAsia" w:hint="eastAsia"/>
          <w:szCs w:val="21"/>
        </w:rPr>
        <w:t>；</w:t>
      </w:r>
    </w:p>
    <w:p w:rsidR="001058DB" w:rsidRPr="001D1B96" w:rsidRDefault="0039514A" w:rsidP="001D1B96">
      <w:pPr>
        <w:spacing w:line="500" w:lineRule="exact"/>
        <w:rPr>
          <w:rFonts w:asciiTheme="minorEastAsia" w:hAnsiTheme="minorEastAsia"/>
          <w:szCs w:val="21"/>
        </w:rPr>
      </w:pPr>
      <w:r w:rsidRPr="001D1B96">
        <w:rPr>
          <w:rFonts w:asciiTheme="minorEastAsia" w:hAnsiTheme="minorEastAsia" w:hint="eastAsia"/>
          <w:szCs w:val="21"/>
        </w:rPr>
        <w:t>六</w:t>
      </w:r>
      <w:r w:rsidR="001058DB" w:rsidRPr="001D1B96">
        <w:rPr>
          <w:rFonts w:asciiTheme="minorEastAsia" w:hAnsiTheme="minorEastAsia" w:hint="eastAsia"/>
          <w:szCs w:val="21"/>
        </w:rPr>
        <w:t>、咨询联系：</w:t>
      </w:r>
    </w:p>
    <w:p w:rsidR="001058DB" w:rsidRPr="001D1B96" w:rsidRDefault="001D1B96" w:rsidP="001D1B96">
      <w:pPr>
        <w:spacing w:line="500" w:lineRule="exact"/>
        <w:rPr>
          <w:rFonts w:asciiTheme="minorEastAsia" w:hAnsiTheme="minorEastAsia"/>
          <w:szCs w:val="21"/>
        </w:rPr>
      </w:pPr>
      <w:r w:rsidRPr="001D1B96">
        <w:rPr>
          <w:rFonts w:asciiTheme="minorEastAsia" w:hAnsiTheme="minorEastAsia" w:hint="eastAsia"/>
          <w:szCs w:val="21"/>
        </w:rPr>
        <w:t>1、</w:t>
      </w:r>
      <w:r w:rsidR="001058DB" w:rsidRPr="001D1B96">
        <w:rPr>
          <w:rFonts w:asciiTheme="minorEastAsia" w:hAnsiTheme="minorEastAsia" w:hint="eastAsia"/>
          <w:szCs w:val="21"/>
        </w:rPr>
        <w:t>国际合作交流处 朱老师85866</w:t>
      </w:r>
      <w:r w:rsidR="001C3691" w:rsidRPr="001D1B96">
        <w:rPr>
          <w:rFonts w:asciiTheme="minorEastAsia" w:hAnsiTheme="minorEastAsia" w:hint="eastAsia"/>
          <w:szCs w:val="21"/>
        </w:rPr>
        <w:t>716</w:t>
      </w:r>
      <w:r w:rsidR="0090391A" w:rsidRPr="001D1B96">
        <w:rPr>
          <w:rFonts w:asciiTheme="minorEastAsia" w:hAnsiTheme="minorEastAsia" w:hint="eastAsia"/>
          <w:szCs w:val="21"/>
        </w:rPr>
        <w:t xml:space="preserve"> 暑期：18951896381（项目情况）</w:t>
      </w:r>
    </w:p>
    <w:p w:rsidR="001D1B96" w:rsidRPr="001D1B96" w:rsidRDefault="001D1B96" w:rsidP="001D1B96">
      <w:pPr>
        <w:spacing w:line="500" w:lineRule="exact"/>
        <w:rPr>
          <w:rFonts w:asciiTheme="minorEastAsia" w:hAnsiTheme="minorEastAsia"/>
          <w:szCs w:val="21"/>
        </w:rPr>
      </w:pPr>
      <w:r w:rsidRPr="001D1B96">
        <w:rPr>
          <w:rFonts w:asciiTheme="minorEastAsia" w:hAnsiTheme="minorEastAsia" w:hint="eastAsia"/>
          <w:szCs w:val="21"/>
        </w:rPr>
        <w:t>2、</w:t>
      </w:r>
      <w:r w:rsidR="001C3691" w:rsidRPr="001D1B96">
        <w:rPr>
          <w:rFonts w:asciiTheme="minorEastAsia" w:hAnsiTheme="minorEastAsia" w:hint="eastAsia"/>
          <w:szCs w:val="21"/>
        </w:rPr>
        <w:t>教务处</w:t>
      </w:r>
      <w:r w:rsidR="0090391A" w:rsidRPr="001D1B96">
        <w:rPr>
          <w:rFonts w:asciiTheme="minorEastAsia" w:hAnsiTheme="minorEastAsia" w:hint="eastAsia"/>
          <w:szCs w:val="21"/>
        </w:rPr>
        <w:t xml:space="preserve"> </w:t>
      </w:r>
      <w:r w:rsidR="001C3691" w:rsidRPr="001D1B96">
        <w:rPr>
          <w:rFonts w:asciiTheme="minorEastAsia" w:hAnsiTheme="minorEastAsia" w:hint="eastAsia"/>
          <w:szCs w:val="21"/>
        </w:rPr>
        <w:t>于老师 85866258</w:t>
      </w:r>
      <w:r w:rsidR="0090391A" w:rsidRPr="001D1B96">
        <w:rPr>
          <w:rFonts w:asciiTheme="minorEastAsia" w:hAnsiTheme="minorEastAsia" w:hint="eastAsia"/>
          <w:szCs w:val="21"/>
        </w:rPr>
        <w:t xml:space="preserve"> （</w:t>
      </w:r>
      <w:r w:rsidR="001C3691" w:rsidRPr="001D1B96">
        <w:rPr>
          <w:rFonts w:asciiTheme="minorEastAsia" w:hAnsiTheme="minorEastAsia" w:hint="eastAsia"/>
          <w:szCs w:val="21"/>
        </w:rPr>
        <w:t>学分转换</w:t>
      </w:r>
      <w:r w:rsidR="0090391A" w:rsidRPr="001D1B96">
        <w:rPr>
          <w:rFonts w:asciiTheme="minorEastAsia" w:hAnsiTheme="minorEastAsia" w:hint="eastAsia"/>
          <w:szCs w:val="21"/>
        </w:rPr>
        <w:t>）</w:t>
      </w:r>
    </w:p>
    <w:sectPr w:rsidR="001D1B96" w:rsidRPr="001D1B96" w:rsidSect="00DA22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20D" w:rsidRDefault="00E3520D" w:rsidP="009F1CA9">
      <w:r>
        <w:separator/>
      </w:r>
    </w:p>
  </w:endnote>
  <w:endnote w:type="continuationSeparator" w:id="1">
    <w:p w:rsidR="00E3520D" w:rsidRDefault="00E3520D" w:rsidP="009F1C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20D" w:rsidRDefault="00E3520D" w:rsidP="009F1CA9">
      <w:r>
        <w:separator/>
      </w:r>
    </w:p>
  </w:footnote>
  <w:footnote w:type="continuationSeparator" w:id="1">
    <w:p w:rsidR="00E3520D" w:rsidRDefault="00E3520D" w:rsidP="009F1C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22AA"/>
    <w:multiLevelType w:val="multilevel"/>
    <w:tmpl w:val="033822AA"/>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76FB6006"/>
    <w:multiLevelType w:val="hybridMultilevel"/>
    <w:tmpl w:val="D12C328A"/>
    <w:lvl w:ilvl="0" w:tplc="F0466C50">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78B0"/>
    <w:rsid w:val="001058DB"/>
    <w:rsid w:val="001C3691"/>
    <w:rsid w:val="001D1B96"/>
    <w:rsid w:val="0039514A"/>
    <w:rsid w:val="00511D57"/>
    <w:rsid w:val="005B7AC7"/>
    <w:rsid w:val="00617B94"/>
    <w:rsid w:val="006D4276"/>
    <w:rsid w:val="007827A9"/>
    <w:rsid w:val="007F6BED"/>
    <w:rsid w:val="0090391A"/>
    <w:rsid w:val="00976FAD"/>
    <w:rsid w:val="009D5174"/>
    <w:rsid w:val="009E78B0"/>
    <w:rsid w:val="009F1CA9"/>
    <w:rsid w:val="00A47D9E"/>
    <w:rsid w:val="00A600E2"/>
    <w:rsid w:val="00B12F25"/>
    <w:rsid w:val="00B265CB"/>
    <w:rsid w:val="00B6721F"/>
    <w:rsid w:val="00BC1725"/>
    <w:rsid w:val="00BF6024"/>
    <w:rsid w:val="00CC4B45"/>
    <w:rsid w:val="00DA22A4"/>
    <w:rsid w:val="00E3146A"/>
    <w:rsid w:val="00E3447C"/>
    <w:rsid w:val="00E3520D"/>
    <w:rsid w:val="00E45952"/>
    <w:rsid w:val="00F060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2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78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78B0"/>
    <w:rPr>
      <w:b/>
      <w:bCs/>
    </w:rPr>
  </w:style>
  <w:style w:type="character" w:customStyle="1" w:styleId="apple-converted-space">
    <w:name w:val="apple-converted-space"/>
    <w:basedOn w:val="a0"/>
    <w:rsid w:val="009E78B0"/>
  </w:style>
  <w:style w:type="paragraph" w:styleId="a5">
    <w:name w:val="List Paragraph"/>
    <w:basedOn w:val="a"/>
    <w:uiPriority w:val="34"/>
    <w:qFormat/>
    <w:rsid w:val="0090391A"/>
    <w:pPr>
      <w:widowControl/>
      <w:ind w:left="720"/>
      <w:contextualSpacing/>
      <w:jc w:val="left"/>
    </w:pPr>
    <w:rPr>
      <w:rFonts w:ascii="Times New Roman" w:eastAsia="Times New Roman" w:hAnsi="Times New Roman" w:cs="Times New Roman"/>
      <w:kern w:val="0"/>
      <w:sz w:val="24"/>
      <w:szCs w:val="24"/>
      <w:lang w:val="fr-FR" w:eastAsia="fr-FR"/>
    </w:rPr>
  </w:style>
  <w:style w:type="paragraph" w:styleId="a6">
    <w:name w:val="header"/>
    <w:basedOn w:val="a"/>
    <w:link w:val="Char"/>
    <w:uiPriority w:val="99"/>
    <w:semiHidden/>
    <w:unhideWhenUsed/>
    <w:rsid w:val="009F1C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F1CA9"/>
    <w:rPr>
      <w:sz w:val="18"/>
      <w:szCs w:val="18"/>
    </w:rPr>
  </w:style>
  <w:style w:type="paragraph" w:styleId="a7">
    <w:name w:val="footer"/>
    <w:basedOn w:val="a"/>
    <w:link w:val="Char0"/>
    <w:uiPriority w:val="99"/>
    <w:semiHidden/>
    <w:unhideWhenUsed/>
    <w:rsid w:val="009F1CA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9F1CA9"/>
    <w:rPr>
      <w:sz w:val="18"/>
      <w:szCs w:val="18"/>
    </w:rPr>
  </w:style>
  <w:style w:type="table" w:styleId="a8">
    <w:name w:val="Table Grid"/>
    <w:basedOn w:val="a1"/>
    <w:uiPriority w:val="59"/>
    <w:rsid w:val="005B7AC7"/>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5955391">
      <w:bodyDiv w:val="1"/>
      <w:marLeft w:val="0"/>
      <w:marRight w:val="0"/>
      <w:marTop w:val="0"/>
      <w:marBottom w:val="0"/>
      <w:divBdr>
        <w:top w:val="none" w:sz="0" w:space="0" w:color="auto"/>
        <w:left w:val="none" w:sz="0" w:space="0" w:color="auto"/>
        <w:bottom w:val="none" w:sz="0" w:space="0" w:color="auto"/>
        <w:right w:val="none" w:sz="0" w:space="0" w:color="auto"/>
      </w:divBdr>
    </w:div>
    <w:div w:id="1016617873">
      <w:bodyDiv w:val="1"/>
      <w:marLeft w:val="0"/>
      <w:marRight w:val="0"/>
      <w:marTop w:val="0"/>
      <w:marBottom w:val="0"/>
      <w:divBdr>
        <w:top w:val="none" w:sz="0" w:space="0" w:color="auto"/>
        <w:left w:val="none" w:sz="0" w:space="0" w:color="auto"/>
        <w:bottom w:val="none" w:sz="0" w:space="0" w:color="auto"/>
        <w:right w:val="none" w:sz="0" w:space="0" w:color="auto"/>
      </w:divBdr>
      <w:divsChild>
        <w:div w:id="1189635539">
          <w:marLeft w:val="0"/>
          <w:marRight w:val="0"/>
          <w:marTop w:val="0"/>
          <w:marBottom w:val="0"/>
          <w:divBdr>
            <w:top w:val="none" w:sz="0" w:space="0" w:color="auto"/>
            <w:left w:val="none" w:sz="0" w:space="0" w:color="auto"/>
            <w:bottom w:val="none" w:sz="0" w:space="0" w:color="auto"/>
            <w:right w:val="none" w:sz="0" w:space="0" w:color="auto"/>
          </w:divBdr>
        </w:div>
        <w:div w:id="44571588">
          <w:marLeft w:val="0"/>
          <w:marRight w:val="0"/>
          <w:marTop w:val="0"/>
          <w:marBottom w:val="0"/>
          <w:divBdr>
            <w:top w:val="none" w:sz="0" w:space="0" w:color="auto"/>
            <w:left w:val="none" w:sz="0" w:space="0" w:color="auto"/>
            <w:bottom w:val="none" w:sz="0" w:space="0" w:color="auto"/>
            <w:right w:val="none" w:sz="0" w:space="0" w:color="auto"/>
          </w:divBdr>
        </w:div>
        <w:div w:id="1167211632">
          <w:marLeft w:val="0"/>
          <w:marRight w:val="0"/>
          <w:marTop w:val="0"/>
          <w:marBottom w:val="0"/>
          <w:divBdr>
            <w:top w:val="none" w:sz="0" w:space="0" w:color="auto"/>
            <w:left w:val="none" w:sz="0" w:space="0" w:color="auto"/>
            <w:bottom w:val="none" w:sz="0" w:space="0" w:color="auto"/>
            <w:right w:val="none" w:sz="0" w:space="0" w:color="auto"/>
          </w:divBdr>
        </w:div>
        <w:div w:id="920676170">
          <w:marLeft w:val="0"/>
          <w:marRight w:val="0"/>
          <w:marTop w:val="0"/>
          <w:marBottom w:val="0"/>
          <w:divBdr>
            <w:top w:val="none" w:sz="0" w:space="0" w:color="auto"/>
            <w:left w:val="none" w:sz="0" w:space="0" w:color="auto"/>
            <w:bottom w:val="none" w:sz="0" w:space="0" w:color="auto"/>
            <w:right w:val="none" w:sz="0" w:space="0" w:color="auto"/>
          </w:divBdr>
        </w:div>
        <w:div w:id="997536653">
          <w:marLeft w:val="0"/>
          <w:marRight w:val="0"/>
          <w:marTop w:val="0"/>
          <w:marBottom w:val="0"/>
          <w:divBdr>
            <w:top w:val="none" w:sz="0" w:space="0" w:color="auto"/>
            <w:left w:val="none" w:sz="0" w:space="0" w:color="auto"/>
            <w:bottom w:val="none" w:sz="0" w:space="0" w:color="auto"/>
            <w:right w:val="none" w:sz="0" w:space="0" w:color="auto"/>
          </w:divBdr>
        </w:div>
      </w:divsChild>
    </w:div>
    <w:div w:id="1017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qinghua</dc:creator>
  <cp:keywords/>
  <dc:description/>
  <cp:lastModifiedBy>qinghua</cp:lastModifiedBy>
  <cp:revision>13</cp:revision>
  <dcterms:created xsi:type="dcterms:W3CDTF">2017-01-10T09:23:00Z</dcterms:created>
  <dcterms:modified xsi:type="dcterms:W3CDTF">2017-01-11T03:23:00Z</dcterms:modified>
</cp:coreProperties>
</file>